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6D" w:rsidRDefault="00C11A6D" w:rsidP="00C11A6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11A6D">
        <w:rPr>
          <w:rFonts w:ascii="Times New Roman" w:eastAsia="Times New Roman" w:hAnsi="Times New Roman" w:cs="Times New Roman"/>
          <w:b/>
          <w:bCs/>
          <w:kern w:val="36"/>
          <w:sz w:val="28"/>
          <w:szCs w:val="28"/>
        </w:rPr>
        <w:t>The Australia Institute: Solar jobs &gt; Check the facts</w:t>
      </w:r>
    </w:p>
    <w:p w:rsidR="00C11A6D" w:rsidRDefault="00C11A6D" w:rsidP="00C11A6D">
      <w:pPr>
        <w:spacing w:before="100" w:beforeAutospacing="1" w:after="100" w:afterAutospacing="1" w:line="240" w:lineRule="auto"/>
        <w:outlineLvl w:val="0"/>
        <w:rPr>
          <w:rFonts w:ascii="Times New Roman" w:eastAsia="Times New Roman" w:hAnsi="Times New Roman" w:cs="Times New Roman"/>
          <w:b/>
          <w:bCs/>
          <w:kern w:val="36"/>
          <w:sz w:val="28"/>
          <w:szCs w:val="28"/>
        </w:rPr>
      </w:pPr>
      <w:hyperlink r:id="rId5" w:history="1">
        <w:r w:rsidRPr="00B044C0">
          <w:rPr>
            <w:rStyle w:val="Hyperlink"/>
            <w:rFonts w:ascii="Times New Roman" w:eastAsia="Times New Roman" w:hAnsi="Times New Roman" w:cs="Times New Roman"/>
            <w:b/>
            <w:bCs/>
            <w:kern w:val="36"/>
            <w:sz w:val="28"/>
            <w:szCs w:val="28"/>
          </w:rPr>
          <w:t>https://www.tai.org.au/content/solar-jobs-check-facts</w:t>
        </w:r>
      </w:hyperlink>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11A6D">
        <w:rPr>
          <w:rFonts w:ascii="Times New Roman" w:eastAsia="Times New Roman" w:hAnsi="Times New Roman" w:cs="Times New Roman"/>
          <w:sz w:val="24"/>
          <w:szCs w:val="24"/>
        </w:rPr>
        <w:t xml:space="preserve">Employment in renewable energy is difficult to determine. Figures are persistently disputed as being inflated or underestimated, depending on which stakeholder is asked. For example, when Liberal MP Mark </w:t>
      </w:r>
      <w:proofErr w:type="spellStart"/>
      <w:r w:rsidRPr="00C11A6D">
        <w:rPr>
          <w:rFonts w:ascii="Times New Roman" w:eastAsia="Times New Roman" w:hAnsi="Times New Roman" w:cs="Times New Roman"/>
          <w:sz w:val="24"/>
          <w:szCs w:val="24"/>
        </w:rPr>
        <w:t>Coulton</w:t>
      </w:r>
      <w:proofErr w:type="spellEnd"/>
      <w:r w:rsidRPr="00C11A6D">
        <w:rPr>
          <w:rFonts w:ascii="Times New Roman" w:eastAsia="Times New Roman" w:hAnsi="Times New Roman" w:cs="Times New Roman"/>
          <w:sz w:val="24"/>
          <w:szCs w:val="24"/>
        </w:rPr>
        <w:t xml:space="preserve"> defended the controversial Cobbora Coal Mine near Dunedoo against calls from Greens Senator Lee Rhiannon to abandon the project in favour of renewable investment, </w:t>
      </w:r>
      <w:hyperlink r:id="rId6" w:history="1">
        <w:r w:rsidRPr="00C11A6D">
          <w:rPr>
            <w:rFonts w:ascii="Times New Roman" w:eastAsia="Times New Roman" w:hAnsi="Times New Roman" w:cs="Times New Roman"/>
            <w:color w:val="0000FF"/>
            <w:sz w:val="24"/>
            <w:szCs w:val="24"/>
            <w:u w:val="single"/>
          </w:rPr>
          <w:t>he suggested that the jobs numbers promised by renewable electricity programs were routinely inflated.</w:t>
        </w:r>
      </w:hyperlink>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hyperlink r:id="rId7" w:history="1">
        <w:r w:rsidRPr="00C11A6D">
          <w:rPr>
            <w:rFonts w:ascii="Times New Roman" w:eastAsia="Times New Roman" w:hAnsi="Times New Roman" w:cs="Times New Roman"/>
            <w:color w:val="0000FF"/>
            <w:sz w:val="24"/>
            <w:szCs w:val="24"/>
            <w:u w:val="single"/>
          </w:rPr>
          <w:t>Research</w:t>
        </w:r>
      </w:hyperlink>
      <w:r w:rsidRPr="00C11A6D">
        <w:rPr>
          <w:rFonts w:ascii="Times New Roman" w:eastAsia="Times New Roman" w:hAnsi="Times New Roman" w:cs="Times New Roman"/>
          <w:sz w:val="24"/>
          <w:szCs w:val="24"/>
        </w:rPr>
        <w:t xml:space="preserve"> commissioned by the solar industry found there are 13,300 people working in the solar photovoltaic (PV) and solar hot water industry.</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Definitive employment figures for the PV sector are not catalogued by the Australian Bureau of Statistics (ABS) or the Department of Employment, Education, and Workplace Relations (DEEWR). Instead, employment figures must be inferred from their broader employment categories, based on a range of assumptions.</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The industry report states that:</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 </w:t>
      </w:r>
      <w:r w:rsidRPr="00C11A6D">
        <w:rPr>
          <w:rFonts w:ascii="Times New Roman" w:eastAsia="Times New Roman" w:hAnsi="Times New Roman" w:cs="Times New Roman"/>
          <w:i/>
          <w:iCs/>
          <w:sz w:val="24"/>
          <w:szCs w:val="24"/>
        </w:rPr>
        <w:t>“The analysis used in the report has been derived through a detailed analysis of data from the ABS’ latest report (6291.0.55.003 Labour Force, Australia), the Department of Employment, Education and Workplace Relations (DEEWR), the Clean Energy Council’s Accredited Installer database and Solar Business Services report (Australian PV – Industry Intelligence 2013).”</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 Solar Business Services, the authors of the report, surveyed 150 solar businesses to gather data on their size, payroll, and demand for installation services. They then derived a ratio of industry employees per MW of solar, weighted it to previously produced comparable ratios of personnel employed per unit of output and industry statistics, then extrapolated workforce figures from ABS and DEEWR labour force statistics and energy production statistics.</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 xml:space="preserve">This methodology is broadly consistent with previous research </w:t>
      </w:r>
      <w:hyperlink r:id="rId8" w:history="1">
        <w:r w:rsidRPr="00C11A6D">
          <w:rPr>
            <w:rFonts w:ascii="Times New Roman" w:eastAsia="Times New Roman" w:hAnsi="Times New Roman" w:cs="Times New Roman"/>
            <w:color w:val="0000FF"/>
            <w:sz w:val="24"/>
            <w:szCs w:val="24"/>
            <w:u w:val="single"/>
          </w:rPr>
          <w:t>by the US Department of Energy</w:t>
        </w:r>
      </w:hyperlink>
      <w:r w:rsidRPr="00C11A6D">
        <w:rPr>
          <w:rFonts w:ascii="Times New Roman" w:eastAsia="Times New Roman" w:hAnsi="Times New Roman" w:cs="Times New Roman"/>
          <w:sz w:val="24"/>
          <w:szCs w:val="24"/>
        </w:rPr>
        <w:t>. While the method used is reliant upon accurate reporting by individual businesses, the data analysis applied is reliable.</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In isolation, however, it is not clear how significant the figure of 13,300 jobs is. For comparison, data from the 2011 national Census shows that 8,083 people are employed in gas and coal-fired electricity generation. That is approximately 60 per cent of the solar energy workforce.</w:t>
      </w:r>
    </w:p>
    <w:p w:rsidR="00C11A6D" w:rsidRPr="00C11A6D" w:rsidRDefault="00C11A6D" w:rsidP="00C11A6D">
      <w:pPr>
        <w:spacing w:before="100" w:beforeAutospacing="1" w:after="100" w:afterAutospacing="1" w:line="240" w:lineRule="auto"/>
        <w:rPr>
          <w:rFonts w:ascii="Times New Roman" w:eastAsia="Times New Roman" w:hAnsi="Times New Roman" w:cs="Times New Roman"/>
          <w:sz w:val="24"/>
          <w:szCs w:val="24"/>
        </w:rPr>
      </w:pPr>
      <w:r w:rsidRPr="00C11A6D">
        <w:rPr>
          <w:rFonts w:ascii="Times New Roman" w:eastAsia="Times New Roman" w:hAnsi="Times New Roman" w:cs="Times New Roman"/>
          <w:sz w:val="24"/>
          <w:szCs w:val="24"/>
        </w:rPr>
        <w:t xml:space="preserve">Although the latest census data on employment in electricity generation is three years old it remains a reliable estimate of current employment. Since 2011, there have been no new fossil-fuel electricity generators built, and a number have been decommissioned (including </w:t>
      </w:r>
      <w:proofErr w:type="spellStart"/>
      <w:r w:rsidRPr="00C11A6D">
        <w:rPr>
          <w:rFonts w:ascii="Times New Roman" w:eastAsia="Times New Roman" w:hAnsi="Times New Roman" w:cs="Times New Roman"/>
          <w:sz w:val="24"/>
          <w:szCs w:val="24"/>
        </w:rPr>
        <w:t>Tarong</w:t>
      </w:r>
      <w:proofErr w:type="spellEnd"/>
      <w:r w:rsidRPr="00C11A6D">
        <w:rPr>
          <w:rFonts w:ascii="Times New Roman" w:eastAsia="Times New Roman" w:hAnsi="Times New Roman" w:cs="Times New Roman"/>
          <w:sz w:val="24"/>
          <w:szCs w:val="24"/>
        </w:rPr>
        <w:t xml:space="preserve"> in Queensland; Munmorah in New South Wales and recent news of an </w:t>
      </w:r>
      <w:hyperlink r:id="rId9" w:history="1">
        <w:r w:rsidRPr="00C11A6D">
          <w:rPr>
            <w:rFonts w:ascii="Times New Roman" w:eastAsia="Times New Roman" w:hAnsi="Times New Roman" w:cs="Times New Roman"/>
            <w:color w:val="0000FF"/>
            <w:sz w:val="24"/>
            <w:szCs w:val="24"/>
            <w:u w:val="single"/>
          </w:rPr>
          <w:t>impending closure in the Latrobe Valley</w:t>
        </w:r>
      </w:hyperlink>
      <w:r w:rsidRPr="00C11A6D">
        <w:rPr>
          <w:rFonts w:ascii="Times New Roman" w:eastAsia="Times New Roman" w:hAnsi="Times New Roman" w:cs="Times New Roman"/>
          <w:sz w:val="24"/>
          <w:szCs w:val="24"/>
        </w:rPr>
        <w:t xml:space="preserve">, Victoria.) Although resultant job losses may have been offset by the average growth rate in employment across Australia of </w:t>
      </w:r>
      <w:hyperlink r:id="rId10" w:history="1">
        <w:r w:rsidRPr="00C11A6D">
          <w:rPr>
            <w:rFonts w:ascii="Times New Roman" w:eastAsia="Times New Roman" w:hAnsi="Times New Roman" w:cs="Times New Roman"/>
            <w:color w:val="0000FF"/>
            <w:sz w:val="24"/>
            <w:szCs w:val="24"/>
            <w:u w:val="single"/>
          </w:rPr>
          <w:t>6.5 per cent over the past 5 years</w:t>
        </w:r>
      </w:hyperlink>
      <w:r w:rsidRPr="00C11A6D">
        <w:rPr>
          <w:rFonts w:ascii="Times New Roman" w:eastAsia="Times New Roman" w:hAnsi="Times New Roman" w:cs="Times New Roman"/>
          <w:sz w:val="24"/>
          <w:szCs w:val="24"/>
        </w:rPr>
        <w:t>, the figure of 8,083 is unlikely to overestimate current employment.</w:t>
      </w:r>
    </w:p>
    <w:sectPr w:rsidR="00C11A6D" w:rsidRPr="00C11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91B6A"/>
    <w:multiLevelType w:val="multilevel"/>
    <w:tmpl w:val="F5E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6D"/>
    <w:rsid w:val="00794747"/>
    <w:rsid w:val="00C11A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363A1-F355-4422-9086-64BE91F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1A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97574">
      <w:bodyDiv w:val="1"/>
      <w:marLeft w:val="0"/>
      <w:marRight w:val="0"/>
      <w:marTop w:val="0"/>
      <w:marBottom w:val="0"/>
      <w:divBdr>
        <w:top w:val="none" w:sz="0" w:space="0" w:color="auto"/>
        <w:left w:val="none" w:sz="0" w:space="0" w:color="auto"/>
        <w:bottom w:val="none" w:sz="0" w:space="0" w:color="auto"/>
        <w:right w:val="none" w:sz="0" w:space="0" w:color="auto"/>
      </w:divBdr>
      <w:divsChild>
        <w:div w:id="1800487353">
          <w:marLeft w:val="0"/>
          <w:marRight w:val="0"/>
          <w:marTop w:val="0"/>
          <w:marBottom w:val="0"/>
          <w:divBdr>
            <w:top w:val="none" w:sz="0" w:space="0" w:color="auto"/>
            <w:left w:val="none" w:sz="0" w:space="0" w:color="auto"/>
            <w:bottom w:val="none" w:sz="0" w:space="0" w:color="auto"/>
            <w:right w:val="none" w:sz="0" w:space="0" w:color="auto"/>
          </w:divBdr>
          <w:divsChild>
            <w:div w:id="1101603785">
              <w:marLeft w:val="0"/>
              <w:marRight w:val="0"/>
              <w:marTop w:val="0"/>
              <w:marBottom w:val="0"/>
              <w:divBdr>
                <w:top w:val="none" w:sz="0" w:space="0" w:color="auto"/>
                <w:left w:val="none" w:sz="0" w:space="0" w:color="auto"/>
                <w:bottom w:val="none" w:sz="0" w:space="0" w:color="auto"/>
                <w:right w:val="none" w:sz="0" w:space="0" w:color="auto"/>
              </w:divBdr>
              <w:divsChild>
                <w:div w:id="1938058806">
                  <w:marLeft w:val="0"/>
                  <w:marRight w:val="0"/>
                  <w:marTop w:val="0"/>
                  <w:marBottom w:val="0"/>
                  <w:divBdr>
                    <w:top w:val="none" w:sz="0" w:space="0" w:color="auto"/>
                    <w:left w:val="none" w:sz="0" w:space="0" w:color="auto"/>
                    <w:bottom w:val="none" w:sz="0" w:space="0" w:color="auto"/>
                    <w:right w:val="none" w:sz="0" w:space="0" w:color="auto"/>
                  </w:divBdr>
                  <w:divsChild>
                    <w:div w:id="1697078974">
                      <w:marLeft w:val="0"/>
                      <w:marRight w:val="0"/>
                      <w:marTop w:val="0"/>
                      <w:marBottom w:val="0"/>
                      <w:divBdr>
                        <w:top w:val="none" w:sz="0" w:space="0" w:color="auto"/>
                        <w:left w:val="none" w:sz="0" w:space="0" w:color="auto"/>
                        <w:bottom w:val="none" w:sz="0" w:space="0" w:color="auto"/>
                        <w:right w:val="none" w:sz="0" w:space="0" w:color="auto"/>
                      </w:divBdr>
                      <w:divsChild>
                        <w:div w:id="1245191453">
                          <w:marLeft w:val="0"/>
                          <w:marRight w:val="0"/>
                          <w:marTop w:val="0"/>
                          <w:marBottom w:val="0"/>
                          <w:divBdr>
                            <w:top w:val="none" w:sz="0" w:space="0" w:color="auto"/>
                            <w:left w:val="none" w:sz="0" w:space="0" w:color="auto"/>
                            <w:bottom w:val="none" w:sz="0" w:space="0" w:color="auto"/>
                            <w:right w:val="none" w:sz="0" w:space="0" w:color="auto"/>
                          </w:divBdr>
                          <w:divsChild>
                            <w:div w:id="1464155355">
                              <w:marLeft w:val="0"/>
                              <w:marRight w:val="0"/>
                              <w:marTop w:val="0"/>
                              <w:marBottom w:val="0"/>
                              <w:divBdr>
                                <w:top w:val="none" w:sz="0" w:space="0" w:color="auto"/>
                                <w:left w:val="none" w:sz="0" w:space="0" w:color="auto"/>
                                <w:bottom w:val="none" w:sz="0" w:space="0" w:color="auto"/>
                                <w:right w:val="none" w:sz="0" w:space="0" w:color="auto"/>
                              </w:divBdr>
                              <w:divsChild>
                                <w:div w:id="642277702">
                                  <w:marLeft w:val="0"/>
                                  <w:marRight w:val="0"/>
                                  <w:marTop w:val="0"/>
                                  <w:marBottom w:val="0"/>
                                  <w:divBdr>
                                    <w:top w:val="none" w:sz="0" w:space="0" w:color="auto"/>
                                    <w:left w:val="none" w:sz="0" w:space="0" w:color="auto"/>
                                    <w:bottom w:val="none" w:sz="0" w:space="0" w:color="auto"/>
                                    <w:right w:val="none" w:sz="0" w:space="0" w:color="auto"/>
                                  </w:divBdr>
                                  <w:divsChild>
                                    <w:div w:id="1157766843">
                                      <w:marLeft w:val="0"/>
                                      <w:marRight w:val="0"/>
                                      <w:marTop w:val="0"/>
                                      <w:marBottom w:val="0"/>
                                      <w:divBdr>
                                        <w:top w:val="none" w:sz="0" w:space="0" w:color="auto"/>
                                        <w:left w:val="none" w:sz="0" w:space="0" w:color="auto"/>
                                        <w:bottom w:val="none" w:sz="0" w:space="0" w:color="auto"/>
                                        <w:right w:val="none" w:sz="0" w:space="0" w:color="auto"/>
                                      </w:divBdr>
                                      <w:divsChild>
                                        <w:div w:id="1156843706">
                                          <w:marLeft w:val="0"/>
                                          <w:marRight w:val="0"/>
                                          <w:marTop w:val="0"/>
                                          <w:marBottom w:val="0"/>
                                          <w:divBdr>
                                            <w:top w:val="none" w:sz="0" w:space="0" w:color="auto"/>
                                            <w:left w:val="none" w:sz="0" w:space="0" w:color="auto"/>
                                            <w:bottom w:val="none" w:sz="0" w:space="0" w:color="auto"/>
                                            <w:right w:val="none" w:sz="0" w:space="0" w:color="auto"/>
                                          </w:divBdr>
                                          <w:divsChild>
                                            <w:div w:id="120466380">
                                              <w:marLeft w:val="0"/>
                                              <w:marRight w:val="0"/>
                                              <w:marTop w:val="0"/>
                                              <w:marBottom w:val="0"/>
                                              <w:divBdr>
                                                <w:top w:val="none" w:sz="0" w:space="0" w:color="auto"/>
                                                <w:left w:val="none" w:sz="0" w:space="0" w:color="auto"/>
                                                <w:bottom w:val="none" w:sz="0" w:space="0" w:color="auto"/>
                                                <w:right w:val="none" w:sz="0" w:space="0" w:color="auto"/>
                                              </w:divBdr>
                                              <w:divsChild>
                                                <w:div w:id="1580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101059">
                      <w:marLeft w:val="0"/>
                      <w:marRight w:val="0"/>
                      <w:marTop w:val="0"/>
                      <w:marBottom w:val="0"/>
                      <w:divBdr>
                        <w:top w:val="none" w:sz="0" w:space="0" w:color="auto"/>
                        <w:left w:val="none" w:sz="0" w:space="0" w:color="auto"/>
                        <w:bottom w:val="none" w:sz="0" w:space="0" w:color="auto"/>
                        <w:right w:val="none" w:sz="0" w:space="0" w:color="auto"/>
                      </w:divBdr>
                      <w:divsChild>
                        <w:div w:id="444425984">
                          <w:marLeft w:val="0"/>
                          <w:marRight w:val="0"/>
                          <w:marTop w:val="0"/>
                          <w:marBottom w:val="0"/>
                          <w:divBdr>
                            <w:top w:val="none" w:sz="0" w:space="0" w:color="auto"/>
                            <w:left w:val="none" w:sz="0" w:space="0" w:color="auto"/>
                            <w:bottom w:val="none" w:sz="0" w:space="0" w:color="auto"/>
                            <w:right w:val="none" w:sz="0" w:space="0" w:color="auto"/>
                          </w:divBdr>
                          <w:divsChild>
                            <w:div w:id="1119568084">
                              <w:marLeft w:val="0"/>
                              <w:marRight w:val="0"/>
                              <w:marTop w:val="0"/>
                              <w:marBottom w:val="0"/>
                              <w:divBdr>
                                <w:top w:val="none" w:sz="0" w:space="0" w:color="auto"/>
                                <w:left w:val="none" w:sz="0" w:space="0" w:color="auto"/>
                                <w:bottom w:val="none" w:sz="0" w:space="0" w:color="auto"/>
                                <w:right w:val="none" w:sz="0" w:space="0" w:color="auto"/>
                              </w:divBdr>
                            </w:div>
                          </w:divsChild>
                        </w:div>
                        <w:div w:id="1128861244">
                          <w:marLeft w:val="0"/>
                          <w:marRight w:val="0"/>
                          <w:marTop w:val="0"/>
                          <w:marBottom w:val="0"/>
                          <w:divBdr>
                            <w:top w:val="none" w:sz="0" w:space="0" w:color="auto"/>
                            <w:left w:val="none" w:sz="0" w:space="0" w:color="auto"/>
                            <w:bottom w:val="none" w:sz="0" w:space="0" w:color="auto"/>
                            <w:right w:val="none" w:sz="0" w:space="0" w:color="auto"/>
                          </w:divBdr>
                          <w:divsChild>
                            <w:div w:id="600917576">
                              <w:marLeft w:val="0"/>
                              <w:marRight w:val="0"/>
                              <w:marTop w:val="0"/>
                              <w:marBottom w:val="0"/>
                              <w:divBdr>
                                <w:top w:val="none" w:sz="0" w:space="0" w:color="auto"/>
                                <w:left w:val="none" w:sz="0" w:space="0" w:color="auto"/>
                                <w:bottom w:val="none" w:sz="0" w:space="0" w:color="auto"/>
                                <w:right w:val="none" w:sz="0" w:space="0" w:color="auto"/>
                              </w:divBdr>
                              <w:divsChild>
                                <w:div w:id="3976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55225">
          <w:marLeft w:val="0"/>
          <w:marRight w:val="0"/>
          <w:marTop w:val="0"/>
          <w:marBottom w:val="0"/>
          <w:divBdr>
            <w:top w:val="none" w:sz="0" w:space="0" w:color="auto"/>
            <w:left w:val="none" w:sz="0" w:space="0" w:color="auto"/>
            <w:bottom w:val="none" w:sz="0" w:space="0" w:color="auto"/>
            <w:right w:val="none" w:sz="0" w:space="0" w:color="auto"/>
          </w:divBdr>
          <w:divsChild>
            <w:div w:id="948970697">
              <w:marLeft w:val="0"/>
              <w:marRight w:val="0"/>
              <w:marTop w:val="0"/>
              <w:marBottom w:val="0"/>
              <w:divBdr>
                <w:top w:val="none" w:sz="0" w:space="0" w:color="auto"/>
                <w:left w:val="none" w:sz="0" w:space="0" w:color="auto"/>
                <w:bottom w:val="none" w:sz="0" w:space="0" w:color="auto"/>
                <w:right w:val="none" w:sz="0" w:space="0" w:color="auto"/>
              </w:divBdr>
              <w:divsChild>
                <w:div w:id="1704088126">
                  <w:marLeft w:val="0"/>
                  <w:marRight w:val="0"/>
                  <w:marTop w:val="0"/>
                  <w:marBottom w:val="0"/>
                  <w:divBdr>
                    <w:top w:val="none" w:sz="0" w:space="0" w:color="auto"/>
                    <w:left w:val="none" w:sz="0" w:space="0" w:color="auto"/>
                    <w:bottom w:val="none" w:sz="0" w:space="0" w:color="auto"/>
                    <w:right w:val="none" w:sz="0" w:space="0" w:color="auto"/>
                  </w:divBdr>
                  <w:divsChild>
                    <w:div w:id="1346858801">
                      <w:marLeft w:val="0"/>
                      <w:marRight w:val="0"/>
                      <w:marTop w:val="0"/>
                      <w:marBottom w:val="0"/>
                      <w:divBdr>
                        <w:top w:val="none" w:sz="0" w:space="0" w:color="auto"/>
                        <w:left w:val="none" w:sz="0" w:space="0" w:color="auto"/>
                        <w:bottom w:val="none" w:sz="0" w:space="0" w:color="auto"/>
                        <w:right w:val="none" w:sz="0" w:space="0" w:color="auto"/>
                      </w:divBdr>
                      <w:divsChild>
                        <w:div w:id="235016175">
                          <w:marLeft w:val="0"/>
                          <w:marRight w:val="0"/>
                          <w:marTop w:val="0"/>
                          <w:marBottom w:val="0"/>
                          <w:divBdr>
                            <w:top w:val="none" w:sz="0" w:space="0" w:color="auto"/>
                            <w:left w:val="none" w:sz="0" w:space="0" w:color="auto"/>
                            <w:bottom w:val="none" w:sz="0" w:space="0" w:color="auto"/>
                            <w:right w:val="none" w:sz="0" w:space="0" w:color="auto"/>
                          </w:divBdr>
                          <w:divsChild>
                            <w:div w:id="18941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l.gov/docs/fy12osti/52739.pdf" TargetMode="External"/><Relationship Id="rId3" Type="http://schemas.openxmlformats.org/officeDocument/2006/relationships/settings" Target="settings.xml"/><Relationship Id="rId7" Type="http://schemas.openxmlformats.org/officeDocument/2006/relationships/hyperlink" Target="http://solarbusiness.com.au/wp-content/uploads/2014/01/140129-solar-jobs-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ilyliberal.com.au/story/860750/dump-cobbora-coal-mine-greens-demand/" TargetMode="External"/><Relationship Id="rId11" Type="http://schemas.openxmlformats.org/officeDocument/2006/relationships/fontTable" Target="fontTable.xml"/><Relationship Id="rId5" Type="http://schemas.openxmlformats.org/officeDocument/2006/relationships/hyperlink" Target="https://www.tai.org.au/content/solar-jobs-check-facts" TargetMode="External"/><Relationship Id="rId10" Type="http://schemas.openxmlformats.org/officeDocument/2006/relationships/hyperlink" Target="http://www.theaustralian.com.au/national-affairs/policy/public-purse-to-fund-jobs-growth/story-fn59noo3-1226932398105" TargetMode="External"/><Relationship Id="rId4" Type="http://schemas.openxmlformats.org/officeDocument/2006/relationships/webSettings" Target="webSettings.xml"/><Relationship Id="rId9" Type="http://schemas.openxmlformats.org/officeDocument/2006/relationships/hyperlink" Target="http://mobile.abc.net.au/news/2014-07-29/vic-coal-power-station-to-close2c-despite-bail-out/5633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2020-04-15T05:35:00Z</dcterms:created>
  <dcterms:modified xsi:type="dcterms:W3CDTF">2020-04-15T05:38:00Z</dcterms:modified>
</cp:coreProperties>
</file>